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DD331D" w:rsidTr="000B5CC0">
        <w:tc>
          <w:tcPr>
            <w:tcW w:w="10041" w:type="dxa"/>
            <w:gridSpan w:val="2"/>
          </w:tcPr>
          <w:p w:rsidR="00B022F4" w:rsidRDefault="00B022F4" w:rsidP="00847E3C">
            <w:pPr>
              <w:jc w:val="center"/>
              <w:rPr>
                <w:b/>
                <w:color w:val="FF00FF"/>
              </w:rPr>
            </w:pPr>
          </w:p>
          <w:p w:rsidR="00D453F3" w:rsidRDefault="00D64518" w:rsidP="00B022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367" w:rsidRPr="00E90BC3" w:rsidRDefault="007E6367" w:rsidP="007E6367">
            <w:pPr>
              <w:jc w:val="center"/>
              <w:rPr>
                <w:b/>
              </w:rPr>
            </w:pPr>
            <w:r w:rsidRPr="00E90BC3">
              <w:rPr>
                <w:b/>
              </w:rPr>
              <w:t>Grade</w:t>
            </w:r>
            <w:r w:rsidR="0007506D" w:rsidRPr="00E90BC3">
              <w:rPr>
                <w:b/>
              </w:rPr>
              <w:t xml:space="preserve"> K</w:t>
            </w:r>
            <w:r w:rsidR="00E90BC3">
              <w:rPr>
                <w:b/>
              </w:rPr>
              <w:t>indergarten</w:t>
            </w:r>
          </w:p>
          <w:p w:rsidR="007E6367" w:rsidRPr="00E90BC3" w:rsidRDefault="00A16D2E" w:rsidP="007E6367">
            <w:pPr>
              <w:jc w:val="center"/>
              <w:rPr>
                <w:b/>
              </w:rPr>
            </w:pPr>
            <w:r w:rsidRPr="00E90BC3">
              <w:rPr>
                <w:b/>
              </w:rPr>
              <w:t>Painting and Painting</w:t>
            </w:r>
            <w:r w:rsidR="00E90BC3">
              <w:rPr>
                <w:b/>
              </w:rPr>
              <w:t xml:space="preserve"> and Painting</w:t>
            </w:r>
          </w:p>
          <w:p w:rsidR="00B022F4" w:rsidRPr="00DD331D" w:rsidRDefault="00B022F4" w:rsidP="00B022F4">
            <w:pPr>
              <w:jc w:val="center"/>
              <w:rPr>
                <w:b/>
              </w:rPr>
            </w:pPr>
          </w:p>
        </w:tc>
      </w:tr>
      <w:tr w:rsidR="00D453F3" w:rsidTr="000B5CC0">
        <w:tc>
          <w:tcPr>
            <w:tcW w:w="1710" w:type="dxa"/>
          </w:tcPr>
          <w:p w:rsidR="00D453F3" w:rsidRPr="00A83110" w:rsidRDefault="00F766F4" w:rsidP="00847E3C">
            <w:pPr>
              <w:ind w:right="-275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D453F3" w:rsidRDefault="0007506D" w:rsidP="00FC02D7">
            <w:r>
              <w:t>Students will:</w:t>
            </w:r>
          </w:p>
          <w:p w:rsidR="0007506D" w:rsidRDefault="0007506D" w:rsidP="00FC02D7">
            <w:r>
              <w:t>Learn to open the paint palette and experiment with the color</w:t>
            </w:r>
            <w:r w:rsidR="00615A4E">
              <w:t>s</w:t>
            </w:r>
            <w:r>
              <w:t xml:space="preserve"> </w:t>
            </w:r>
            <w:r w:rsidR="00615A4E">
              <w:t xml:space="preserve">and </w:t>
            </w:r>
            <w:r w:rsidR="00C20FAE">
              <w:t>tools.</w:t>
            </w:r>
          </w:p>
          <w:p w:rsidR="0007506D" w:rsidRDefault="00D944D4" w:rsidP="00FC02D7">
            <w:r>
              <w:t>Paint with all six brush</w:t>
            </w:r>
            <w:r w:rsidR="00C20FAE">
              <w:t xml:space="preserve"> sizes and the matching erasers.</w:t>
            </w:r>
          </w:p>
          <w:p w:rsidR="00E90BC3" w:rsidRDefault="00E90BC3" w:rsidP="00FC02D7">
            <w:r>
              <w:t>Use the paint bucket tool.</w:t>
            </w:r>
          </w:p>
          <w:p w:rsidR="0007506D" w:rsidRDefault="0007506D" w:rsidP="00FC02D7">
            <w:r>
              <w:t>Experiment with the Clear button.</w:t>
            </w:r>
          </w:p>
          <w:p w:rsidR="0007506D" w:rsidRDefault="00E90BC3" w:rsidP="00FC02D7">
            <w:r>
              <w:t>Paint lines, shapes, colors, pictures, numbers, letters, and words.</w:t>
            </w:r>
          </w:p>
        </w:tc>
      </w:tr>
      <w:tr w:rsidR="0060648C" w:rsidTr="000B5CC0">
        <w:tc>
          <w:tcPr>
            <w:tcW w:w="1710" w:type="dxa"/>
          </w:tcPr>
          <w:p w:rsidR="0060648C" w:rsidRDefault="0022273D" w:rsidP="00847E3C">
            <w:pPr>
              <w:ind w:right="-275"/>
              <w:rPr>
                <w:b/>
              </w:rPr>
            </w:pPr>
            <w:r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363894" w:rsidRDefault="00363894" w:rsidP="00363894">
            <w:pPr>
              <w:jc w:val="center"/>
            </w:pPr>
          </w:p>
          <w:p w:rsidR="00E90BC3" w:rsidRDefault="00363894" w:rsidP="003638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59024"/>
                  <wp:effectExtent l="19050" t="0" r="0" b="0"/>
                  <wp:docPr id="6" name="Picture 6" descr="C:\Users\kathleen\Desktop\paint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thleen\Desktop\paint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859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BC3" w:rsidRDefault="00E90BC3" w:rsidP="00363894"/>
        </w:tc>
      </w:tr>
      <w:tr w:rsidR="00D453F3" w:rsidTr="000B5CC0">
        <w:tc>
          <w:tcPr>
            <w:tcW w:w="1710" w:type="dxa"/>
          </w:tcPr>
          <w:p w:rsidR="00D453F3" w:rsidRPr="00A83110" w:rsidRDefault="00FA0A1E" w:rsidP="00FA0A1E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31" w:type="dxa"/>
          </w:tcPr>
          <w:p w:rsidR="00D453F3" w:rsidRDefault="00E90BC3" w:rsidP="00847E3C">
            <w:r>
              <w:t>Art, Math, Language Arts</w:t>
            </w:r>
          </w:p>
        </w:tc>
      </w:tr>
      <w:tr w:rsidR="00FA0A1E" w:rsidRPr="00012450" w:rsidTr="000B5CC0">
        <w:tc>
          <w:tcPr>
            <w:tcW w:w="1710" w:type="dxa"/>
          </w:tcPr>
          <w:p w:rsidR="00FA0A1E" w:rsidRPr="00A83110" w:rsidRDefault="00FA0A1E" w:rsidP="00847E3C">
            <w:pPr>
              <w:rPr>
                <w:b/>
              </w:rPr>
            </w:pPr>
            <w:r>
              <w:rPr>
                <w:b/>
              </w:rPr>
              <w:t>Etoys Quick Guides</w:t>
            </w:r>
          </w:p>
        </w:tc>
        <w:tc>
          <w:tcPr>
            <w:tcW w:w="8331" w:type="dxa"/>
          </w:tcPr>
          <w:p w:rsidR="00FA0A1E" w:rsidRPr="007E6367" w:rsidRDefault="00FA0A1E" w:rsidP="00FA0A1E">
            <w:pPr>
              <w:rPr>
                <w:sz w:val="20"/>
                <w:szCs w:val="20"/>
              </w:rPr>
            </w:pPr>
            <w:r w:rsidRPr="004277F9"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>tutorials for basic tools and techniques.</w:t>
            </w:r>
            <w:r w:rsidR="004277F9" w:rsidRPr="004277F9">
              <w:t xml:space="preserve"> </w:t>
            </w:r>
            <w:r w:rsidRPr="00D15A72">
              <w:rPr>
                <w:color w:val="FF33CC"/>
              </w:rPr>
              <w:tab/>
            </w:r>
          </w:p>
        </w:tc>
      </w:tr>
      <w:tr w:rsidR="0060648C" w:rsidRPr="00012450" w:rsidTr="000B5CC0">
        <w:tc>
          <w:tcPr>
            <w:tcW w:w="1710" w:type="dxa"/>
          </w:tcPr>
          <w:p w:rsidR="0060648C" w:rsidRDefault="0060648C" w:rsidP="00847E3C">
            <w:pPr>
              <w:rPr>
                <w:b/>
              </w:rPr>
            </w:pPr>
            <w:r>
              <w:rPr>
                <w:b/>
              </w:rPr>
              <w:t>Vocabulary:</w:t>
            </w:r>
          </w:p>
        </w:tc>
        <w:tc>
          <w:tcPr>
            <w:tcW w:w="8331" w:type="dxa"/>
          </w:tcPr>
          <w:p w:rsidR="005E2EBF" w:rsidRPr="00E90BC3" w:rsidRDefault="00A46DB9" w:rsidP="00FA0A1E">
            <w:r>
              <w:t>c</w:t>
            </w:r>
            <w:r w:rsidR="00E90BC3" w:rsidRPr="00E90BC3">
              <w:t>olors, shapes, circles, lines, rectangles, triangles, squares, numbers, letters,</w:t>
            </w:r>
            <w:r>
              <w:t xml:space="preserve"> how many, what color, what </w:t>
            </w:r>
            <w:r w:rsidR="00D944D4">
              <w:t>size, biggest, smallest, top row, bottom row, right, middle,</w:t>
            </w:r>
            <w:r>
              <w:t xml:space="preserve"> left, counting, numbers, letters</w:t>
            </w:r>
          </w:p>
        </w:tc>
      </w:tr>
      <w:tr w:rsidR="00FA0A1E" w:rsidTr="000B5CC0">
        <w:tc>
          <w:tcPr>
            <w:tcW w:w="1710" w:type="dxa"/>
          </w:tcPr>
          <w:p w:rsidR="00363894" w:rsidRPr="00932644" w:rsidRDefault="00FA0A1E" w:rsidP="00847E3C">
            <w:pPr>
              <w:rPr>
                <w:b/>
              </w:rPr>
            </w:pPr>
            <w:r w:rsidRPr="00FA0A1E">
              <w:rPr>
                <w:b/>
              </w:rPr>
              <w:t>Lesson 1</w:t>
            </w:r>
            <w:r>
              <w:rPr>
                <w:b/>
              </w:rPr>
              <w:t>:</w:t>
            </w:r>
          </w:p>
          <w:p w:rsidR="000B5CC0" w:rsidRDefault="000B5CC0" w:rsidP="00847E3C">
            <w:pPr>
              <w:rPr>
                <w:color w:val="008080"/>
                <w:sz w:val="20"/>
                <w:szCs w:val="20"/>
              </w:rPr>
            </w:pPr>
            <w:r w:rsidRPr="000B5CC0">
              <w:rPr>
                <w:color w:val="008080"/>
                <w:sz w:val="20"/>
                <w:szCs w:val="20"/>
              </w:rPr>
              <w:t>Paint</w:t>
            </w:r>
            <w:r>
              <w:rPr>
                <w:color w:val="008080"/>
                <w:sz w:val="20"/>
                <w:szCs w:val="20"/>
              </w:rPr>
              <w:t xml:space="preserve"> </w:t>
            </w:r>
            <w:r w:rsidRPr="000B5CC0">
              <w:rPr>
                <w:color w:val="008080"/>
                <w:sz w:val="20"/>
                <w:szCs w:val="20"/>
              </w:rPr>
              <w:t>Tools:</w:t>
            </w:r>
            <w:r>
              <w:rPr>
                <w:color w:val="008080"/>
                <w:sz w:val="20"/>
                <w:szCs w:val="20"/>
              </w:rPr>
              <w:t xml:space="preserve"> Brushes</w:t>
            </w:r>
          </w:p>
          <w:p w:rsidR="00932644" w:rsidRDefault="00932644" w:rsidP="00847E3C">
            <w:pPr>
              <w:rPr>
                <w:color w:val="008080"/>
                <w:sz w:val="20"/>
                <w:szCs w:val="20"/>
              </w:rPr>
            </w:pPr>
          </w:p>
          <w:p w:rsidR="000B5CC0" w:rsidRDefault="000B5CC0" w:rsidP="00847E3C">
            <w:pPr>
              <w:rPr>
                <w:color w:val="008080"/>
                <w:sz w:val="20"/>
                <w:szCs w:val="20"/>
              </w:rPr>
            </w:pPr>
            <w:r w:rsidRPr="000B5CC0">
              <w:rPr>
                <w:color w:val="008080"/>
                <w:sz w:val="20"/>
                <w:szCs w:val="20"/>
              </w:rPr>
              <w:t>Paint</w:t>
            </w:r>
            <w:r>
              <w:rPr>
                <w:color w:val="008080"/>
                <w:sz w:val="20"/>
                <w:szCs w:val="20"/>
              </w:rPr>
              <w:t xml:space="preserve"> </w:t>
            </w:r>
            <w:r w:rsidRPr="000B5CC0">
              <w:rPr>
                <w:color w:val="008080"/>
                <w:sz w:val="20"/>
                <w:szCs w:val="20"/>
              </w:rPr>
              <w:t>Tools:</w:t>
            </w:r>
            <w:r>
              <w:rPr>
                <w:color w:val="008080"/>
                <w:sz w:val="20"/>
                <w:szCs w:val="20"/>
              </w:rPr>
              <w:t xml:space="preserve"> Color Palette</w:t>
            </w:r>
          </w:p>
          <w:p w:rsidR="00363894" w:rsidRDefault="00363894" w:rsidP="00847E3C">
            <w:pPr>
              <w:rPr>
                <w:color w:val="008080"/>
                <w:sz w:val="20"/>
                <w:szCs w:val="20"/>
              </w:rPr>
            </w:pPr>
          </w:p>
          <w:p w:rsidR="000B5CC0" w:rsidRPr="000B5CC0" w:rsidRDefault="000B5CC0" w:rsidP="00847E3C">
            <w:pPr>
              <w:rPr>
                <w:color w:val="008080"/>
                <w:sz w:val="20"/>
                <w:szCs w:val="20"/>
              </w:rPr>
            </w:pPr>
            <w:r w:rsidRPr="000B5CC0">
              <w:rPr>
                <w:color w:val="008080"/>
                <w:sz w:val="20"/>
                <w:szCs w:val="20"/>
              </w:rPr>
              <w:lastRenderedPageBreak/>
              <w:t>Paint</w:t>
            </w:r>
            <w:r>
              <w:rPr>
                <w:color w:val="008080"/>
                <w:sz w:val="20"/>
                <w:szCs w:val="20"/>
              </w:rPr>
              <w:t xml:space="preserve"> </w:t>
            </w:r>
            <w:r w:rsidRPr="000B5CC0">
              <w:rPr>
                <w:color w:val="008080"/>
                <w:sz w:val="20"/>
                <w:szCs w:val="20"/>
              </w:rPr>
              <w:t>Tools:</w:t>
            </w:r>
            <w:r>
              <w:rPr>
                <w:color w:val="008080"/>
                <w:sz w:val="20"/>
                <w:szCs w:val="20"/>
              </w:rPr>
              <w:t xml:space="preserve"> Paint Bucket</w:t>
            </w:r>
          </w:p>
        </w:tc>
        <w:tc>
          <w:tcPr>
            <w:tcW w:w="8331" w:type="dxa"/>
          </w:tcPr>
          <w:p w:rsidR="000B5CC0" w:rsidRDefault="005E2EBF" w:rsidP="00847E3C">
            <w:r>
              <w:lastRenderedPageBreak/>
              <w:t>The</w:t>
            </w:r>
            <w:r w:rsidR="00E24807">
              <w:t>se</w:t>
            </w:r>
            <w:r>
              <w:t xml:space="preserve"> project</w:t>
            </w:r>
            <w:r w:rsidR="00E24807">
              <w:t xml:space="preserve">s introduce paint palette tools. Use the activities to support student learning in current classroom topics. </w:t>
            </w:r>
          </w:p>
          <w:p w:rsidR="00E24807" w:rsidRDefault="00D944D4" w:rsidP="00847E3C">
            <w:r>
              <w:t>Show students how to open Et</w:t>
            </w:r>
            <w:r w:rsidR="00C73A2A">
              <w:t xml:space="preserve">oys from the desktop and </w:t>
            </w:r>
            <w:r>
              <w:t>click on</w:t>
            </w:r>
            <w:r w:rsidR="00363894">
              <w:t xml:space="preserve"> Make a Project.</w:t>
            </w:r>
            <w:r>
              <w:t xml:space="preserve"> </w:t>
            </w:r>
          </w:p>
          <w:p w:rsidR="000B5CC0" w:rsidRDefault="00E90BC3" w:rsidP="00847E3C">
            <w:r>
              <w:t>Give students time to</w:t>
            </w:r>
            <w:r w:rsidR="00363894">
              <w:t xml:space="preserve"> use the paints to</w:t>
            </w:r>
            <w:r w:rsidR="005E2EBF">
              <w:t xml:space="preserve"> play,</w:t>
            </w:r>
            <w:r>
              <w:t xml:space="preserve"> experiment</w:t>
            </w:r>
            <w:r w:rsidR="005E2EBF">
              <w:t>, and explore the</w:t>
            </w:r>
            <w:r>
              <w:t xml:space="preserve"> </w:t>
            </w:r>
            <w:r>
              <w:lastRenderedPageBreak/>
              <w:t xml:space="preserve">possibilities </w:t>
            </w:r>
            <w:r w:rsidR="005E2EBF">
              <w:t>of these tool and projects and ideas</w:t>
            </w:r>
            <w:r>
              <w:t xml:space="preserve"> that occur to them.</w:t>
            </w:r>
          </w:p>
          <w:p w:rsidR="000B5CC0" w:rsidRDefault="000B5CC0" w:rsidP="00847E3C"/>
          <w:p w:rsidR="000F3AB2" w:rsidRDefault="005E2EBF" w:rsidP="00847E3C">
            <w:r>
              <w:t xml:space="preserve">The </w:t>
            </w:r>
            <w:r w:rsidR="00C73A2A">
              <w:t>sixteen suggested activities</w:t>
            </w:r>
            <w:r w:rsidR="00E90BC3">
              <w:t xml:space="preserve"> in</w:t>
            </w:r>
            <w:r w:rsidR="00A46DB9">
              <w:t xml:space="preserve"> th</w:t>
            </w:r>
            <w:r>
              <w:t xml:space="preserve">is project </w:t>
            </w:r>
            <w:r w:rsidR="00A46DB9">
              <w:t>do not be</w:t>
            </w:r>
            <w:r>
              <w:t>gin to exhaust the many ways</w:t>
            </w:r>
            <w:r w:rsidR="00A46DB9">
              <w:t xml:space="preserve"> paint tools can be used for enjoyment a</w:t>
            </w:r>
            <w:r w:rsidR="00D944D4">
              <w:t xml:space="preserve">nd for learning. </w:t>
            </w:r>
          </w:p>
          <w:p w:rsidR="000F3AB2" w:rsidRDefault="000F3AB2" w:rsidP="00847E3C"/>
          <w:p w:rsidR="000B5CC0" w:rsidRDefault="00D944D4" w:rsidP="00847E3C">
            <w:r>
              <w:t>U</w:t>
            </w:r>
            <w:r w:rsidR="000F3AB2">
              <w:t>se the activities to support</w:t>
            </w:r>
            <w:r w:rsidR="005C58C1">
              <w:t xml:space="preserve"> student learning in current classroom topics. For example, use the paint tools to </w:t>
            </w:r>
            <w:r w:rsidR="00180EA2">
              <w:t>“</w:t>
            </w:r>
            <w:r w:rsidR="005C58C1">
              <w:t>paint four blue circles near the right side of the screen</w:t>
            </w:r>
            <w:r w:rsidR="00180EA2">
              <w:t>”</w:t>
            </w:r>
            <w:r w:rsidR="000F3AB2">
              <w:t xml:space="preserve"> asks students to apply knowledge about counting, colors, and location</w:t>
            </w:r>
            <w:r w:rsidR="005C58C1">
              <w:t>.</w:t>
            </w:r>
            <w:r w:rsidR="000F3AB2">
              <w:t xml:space="preserve"> Two students working together can give each other similar directions</w:t>
            </w:r>
            <w:r w:rsidR="00E24807">
              <w:t xml:space="preserve"> to develop </w:t>
            </w:r>
            <w:r w:rsidR="000F3AB2">
              <w:t>speaking and listening</w:t>
            </w:r>
            <w:r w:rsidR="00E24807">
              <w:t xml:space="preserve"> skills</w:t>
            </w:r>
            <w:r w:rsidR="000F3AB2">
              <w:t>.</w:t>
            </w:r>
          </w:p>
          <w:p w:rsidR="00180EA2" w:rsidRDefault="00180EA2" w:rsidP="00847E3C"/>
          <w:p w:rsidR="000B5CC0" w:rsidRDefault="00E24807" w:rsidP="000B5CC0">
            <w:r>
              <w:t xml:space="preserve">Students will become familiar with Etoys and </w:t>
            </w:r>
            <w:r w:rsidR="000B5CC0">
              <w:t xml:space="preserve">the paint </w:t>
            </w:r>
            <w:r w:rsidR="00360387">
              <w:t>tools. They need not save</w:t>
            </w:r>
            <w:r w:rsidR="000B5CC0">
              <w:t xml:space="preserve"> these early p</w:t>
            </w:r>
            <w:r w:rsidR="00360387">
              <w:t>rojects.</w:t>
            </w:r>
            <w:r w:rsidR="000B5CC0">
              <w:t xml:space="preserve"> </w:t>
            </w:r>
            <w:r w:rsidR="00360387">
              <w:t xml:space="preserve">Introduce keeping projects when </w:t>
            </w:r>
            <w:r w:rsidR="000B5CC0">
              <w:t>students know the letters of their name and can find them on the keyboard</w:t>
            </w:r>
            <w:r w:rsidR="00360387">
              <w:t>.</w:t>
            </w:r>
          </w:p>
        </w:tc>
      </w:tr>
      <w:tr w:rsidR="00FA0A1E" w:rsidTr="000B5CC0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>
              <w:rPr>
                <w:b/>
              </w:rPr>
              <w:lastRenderedPageBreak/>
              <w:t>Standards:</w:t>
            </w:r>
          </w:p>
        </w:tc>
        <w:tc>
          <w:tcPr>
            <w:tcW w:w="8331" w:type="dxa"/>
          </w:tcPr>
          <w:p w:rsidR="00E24807" w:rsidRPr="00C73A2A" w:rsidRDefault="00E24807" w:rsidP="00E24807">
            <w:r>
              <w:t xml:space="preserve">Common </w:t>
            </w:r>
            <w:r w:rsidRPr="00C73A2A">
              <w:t>Core Standards</w:t>
            </w:r>
          </w:p>
          <w:p w:rsidR="00E24807" w:rsidRPr="00C73A2A" w:rsidRDefault="00E24807" w:rsidP="00E24807">
            <w:r w:rsidRPr="00C73A2A">
              <w:t>Mathematics: K.CC 1,2,3,5</w:t>
            </w:r>
            <w:r>
              <w:t xml:space="preserve">; </w:t>
            </w:r>
            <w:r w:rsidRPr="00C73A2A">
              <w:t>K.G5</w:t>
            </w:r>
          </w:p>
          <w:p w:rsidR="00E24807" w:rsidRPr="00180EA2" w:rsidRDefault="00E24807" w:rsidP="00E24807">
            <w:r w:rsidRPr="00180EA2">
              <w:t>Language Arts: SL.K.1</w:t>
            </w:r>
          </w:p>
          <w:p w:rsidR="000D3CEF" w:rsidRPr="000B5CC0" w:rsidRDefault="000D3CEF" w:rsidP="000D3CEF"/>
          <w:p w:rsidR="000D3CEF" w:rsidRPr="000B5CC0" w:rsidRDefault="000D3CEF" w:rsidP="000D3CEF">
            <w:r w:rsidRPr="000B5CC0">
              <w:t>Bloom’s Taxonomy/Cognitive Domain:</w:t>
            </w:r>
          </w:p>
          <w:p w:rsidR="000D3CEF" w:rsidRPr="000B5CC0" w:rsidRDefault="000D3CEF" w:rsidP="000D3CEF">
            <w:r w:rsidRPr="000B5CC0">
              <w:t>Knowledge: describes, knows, names, selects, states</w:t>
            </w:r>
          </w:p>
          <w:p w:rsidR="000D3CEF" w:rsidRPr="000B5CC0" w:rsidRDefault="000D3CEF" w:rsidP="000D3CEF">
            <w:r w:rsidRPr="000B5CC0">
              <w:t>Application: demonstrates, produces, uses</w:t>
            </w:r>
          </w:p>
          <w:p w:rsidR="00E24807" w:rsidRDefault="000D3CEF" w:rsidP="00E24807">
            <w:r w:rsidRPr="000B5CC0">
              <w:t>Analysis: analyzes, compares, distinguishes, selects, separates</w:t>
            </w:r>
          </w:p>
          <w:p w:rsidR="00E24807" w:rsidRDefault="00E24807" w:rsidP="00E24807"/>
          <w:p w:rsidR="00E24807" w:rsidRPr="00E24807" w:rsidRDefault="00E24807" w:rsidP="00E24807">
            <w:r w:rsidRPr="000B5CC0">
              <w:t xml:space="preserve">NETS </w:t>
            </w:r>
            <w:r w:rsidRPr="000B5CC0">
              <w:rPr>
                <w:sz w:val="18"/>
                <w:szCs w:val="18"/>
              </w:rPr>
              <w:t xml:space="preserve"> </w:t>
            </w:r>
          </w:p>
          <w:p w:rsidR="00E24807" w:rsidRPr="000B5CC0" w:rsidRDefault="00E24807" w:rsidP="00E24807">
            <w:r>
              <w:t>1. a, b</w:t>
            </w:r>
          </w:p>
          <w:p w:rsidR="00E24807" w:rsidRPr="000B5CC0" w:rsidRDefault="00E24807" w:rsidP="00E24807">
            <w:r>
              <w:t>2. a, b</w:t>
            </w:r>
          </w:p>
          <w:p w:rsidR="00FA0A1E" w:rsidRDefault="00E24807" w:rsidP="00FA25A0">
            <w:r>
              <w:t>4. a, b</w:t>
            </w:r>
            <w:r w:rsidRPr="000B5CC0">
              <w:t xml:space="preserve"> </w:t>
            </w:r>
          </w:p>
        </w:tc>
      </w:tr>
      <w:tr w:rsidR="00FA0A1E" w:rsidTr="000B5CC0">
        <w:tc>
          <w:tcPr>
            <w:tcW w:w="1710" w:type="dxa"/>
          </w:tcPr>
          <w:p w:rsidR="00FA0A1E" w:rsidRPr="00967533" w:rsidRDefault="00FA0A1E" w:rsidP="00847E3C">
            <w:pPr>
              <w:rPr>
                <w:b/>
              </w:rPr>
            </w:pPr>
            <w:r w:rsidRPr="00A83110">
              <w:rPr>
                <w:b/>
              </w:rPr>
              <w:t>Resources:</w:t>
            </w:r>
          </w:p>
        </w:tc>
        <w:tc>
          <w:tcPr>
            <w:tcW w:w="8331" w:type="dxa"/>
          </w:tcPr>
          <w:p w:rsidR="00363894" w:rsidRDefault="00363894" w:rsidP="00363894">
            <w:r>
              <w:t>Etoys Help Quick Guides: always available in Etoys. Open Etoys and click the question mark to open a set of interactive tutorials of basic tools and techniques.</w:t>
            </w:r>
          </w:p>
          <w:p w:rsidR="00363894" w:rsidRPr="00774F6A" w:rsidRDefault="00363894" w:rsidP="00363894">
            <w:hyperlink r:id="rId8" w:history="1">
              <w:r w:rsidRPr="0012409F">
                <w:rPr>
                  <w:rStyle w:val="Hyperlink"/>
                </w:rPr>
                <w:t>www.etoysillinois.org</w:t>
              </w:r>
            </w:hyperlink>
            <w:r>
              <w:t xml:space="preserve">  projects, </w:t>
            </w:r>
            <w:r w:rsidRPr="00774F6A">
              <w:t>lesson plans</w:t>
            </w:r>
            <w:r>
              <w:t>, software download</w:t>
            </w:r>
          </w:p>
          <w:p w:rsidR="00363894" w:rsidRDefault="00363894" w:rsidP="00363894">
            <w:hyperlink r:id="rId9" w:history="1">
              <w:r w:rsidRPr="0012409F">
                <w:rPr>
                  <w:rStyle w:val="Hyperlink"/>
                </w:rPr>
                <w:t>www.mste.Illinois.org</w:t>
              </w:r>
            </w:hyperlink>
            <w:r>
              <w:t xml:space="preserve"> more math, science, and technology resources</w:t>
            </w:r>
          </w:p>
          <w:p w:rsidR="00363894" w:rsidRPr="00F30E17" w:rsidRDefault="00363894" w:rsidP="00363894">
            <w:hyperlink r:id="rId10" w:history="1">
              <w:r w:rsidRPr="0012409F">
                <w:rPr>
                  <w:rStyle w:val="Hyperlink"/>
                </w:rPr>
                <w:t>www.corestandards.org</w:t>
              </w:r>
            </w:hyperlink>
            <w:r>
              <w:t xml:space="preserve"> Common Core Standards </w:t>
            </w:r>
            <w:r>
              <w:tab/>
            </w:r>
          </w:p>
          <w:p w:rsidR="00363894" w:rsidRPr="00B90392" w:rsidRDefault="00363894" w:rsidP="00363894">
            <w:hyperlink r:id="rId11" w:history="1">
              <w:r w:rsidRPr="0012409F">
                <w:rPr>
                  <w:rStyle w:val="Hyperlink"/>
                </w:rPr>
                <w:t>www.squeakland.org</w:t>
              </w:r>
            </w:hyperlink>
            <w:r>
              <w:t xml:space="preserve"> software and Etoys projects </w:t>
            </w:r>
          </w:p>
          <w:p w:rsidR="00FA0A1E" w:rsidRPr="007E6367" w:rsidRDefault="00363894" w:rsidP="00847E3C">
            <w:pPr>
              <w:rPr>
                <w:b/>
              </w:rPr>
            </w:pPr>
            <w:hyperlink r:id="rId12" w:history="1">
              <w:r w:rsidRPr="0012409F">
                <w:rPr>
                  <w:rStyle w:val="Hyperlink"/>
                </w:rPr>
                <w:t>www.nctm.org</w:t>
              </w:r>
            </w:hyperlink>
            <w:r>
              <w:rPr>
                <w:b/>
              </w:rPr>
              <w:t xml:space="preserve"> </w:t>
            </w:r>
            <w:r w:rsidRPr="00B90392">
              <w:t>Standards and Focal Points</w:t>
            </w:r>
            <w:r>
              <w:t xml:space="preserve"> for each </w:t>
            </w:r>
            <w:r w:rsidRPr="00B90392">
              <w:t xml:space="preserve">grade </w:t>
            </w:r>
          </w:p>
        </w:tc>
      </w:tr>
      <w:tr w:rsidR="00FA0A1E" w:rsidTr="000B5CC0">
        <w:tc>
          <w:tcPr>
            <w:tcW w:w="1710" w:type="dxa"/>
          </w:tcPr>
          <w:p w:rsidR="00FA0A1E" w:rsidRPr="00363894" w:rsidRDefault="00363894" w:rsidP="00847E3C">
            <w:pPr>
              <w:rPr>
                <w:sz w:val="20"/>
                <w:szCs w:val="20"/>
              </w:rPr>
            </w:pPr>
            <w:proofErr w:type="spellStart"/>
            <w:r w:rsidRPr="00363894">
              <w:rPr>
                <w:sz w:val="20"/>
                <w:szCs w:val="20"/>
              </w:rPr>
              <w:t>kh</w:t>
            </w:r>
            <w:proofErr w:type="spellEnd"/>
          </w:p>
          <w:p w:rsidR="00363894" w:rsidRPr="007E4235" w:rsidRDefault="00363894" w:rsidP="00847E3C">
            <w:r w:rsidRPr="00363894">
              <w:rPr>
                <w:sz w:val="20"/>
                <w:szCs w:val="20"/>
              </w:rPr>
              <w:t>January 2011</w:t>
            </w:r>
          </w:p>
        </w:tc>
        <w:tc>
          <w:tcPr>
            <w:tcW w:w="8331" w:type="dxa"/>
          </w:tcPr>
          <w:p w:rsidR="00FA0A1E" w:rsidRDefault="00FA0A1E" w:rsidP="00847E3C"/>
        </w:tc>
      </w:tr>
    </w:tbl>
    <w:p w:rsidR="00D453F3" w:rsidRDefault="00D453F3" w:rsidP="00D453F3"/>
    <w:sectPr w:rsidR="00D453F3" w:rsidSect="003E11F5">
      <w:headerReference w:type="default" r:id="rId13"/>
      <w:footerReference w:type="even" r:id="rId14"/>
      <w:footerReference w:type="default" r:id="rId15"/>
      <w:pgSz w:w="12240" w:h="15840"/>
      <w:pgMar w:top="1728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00" w:rsidRDefault="00E25500">
      <w:r>
        <w:separator/>
      </w:r>
    </w:p>
  </w:endnote>
  <w:endnote w:type="continuationSeparator" w:id="0">
    <w:p w:rsidR="00E25500" w:rsidRDefault="00E25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F5" w:rsidRDefault="003E11F5" w:rsidP="009438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1F5" w:rsidRDefault="003E11F5" w:rsidP="003E11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F5" w:rsidRDefault="003E11F5" w:rsidP="009438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644">
      <w:rPr>
        <w:rStyle w:val="PageNumber"/>
        <w:noProof/>
      </w:rPr>
      <w:t>2</w:t>
    </w:r>
    <w:r>
      <w:rPr>
        <w:rStyle w:val="PageNumber"/>
      </w:rPr>
      <w:fldChar w:fldCharType="end"/>
    </w:r>
  </w:p>
  <w:p w:rsidR="004B40BB" w:rsidRPr="00F766F4" w:rsidRDefault="004B40BB" w:rsidP="003E11F5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4B40BB" w:rsidRDefault="00D64518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3" name="Picture 3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00" w:rsidRDefault="00E25500">
      <w:r>
        <w:separator/>
      </w:r>
    </w:p>
  </w:footnote>
  <w:footnote w:type="continuationSeparator" w:id="0">
    <w:p w:rsidR="00E25500" w:rsidRDefault="00E25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BB" w:rsidRPr="00F766F4" w:rsidRDefault="004B40BB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4B40BB" w:rsidRPr="00F766F4" w:rsidRDefault="004B40BB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4B40BB" w:rsidRDefault="004B40BB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BC025E" w:rsidRPr="00F766F4" w:rsidRDefault="00BC025E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36130"/>
    <w:rsid w:val="0007506D"/>
    <w:rsid w:val="00083D53"/>
    <w:rsid w:val="000B5CC0"/>
    <w:rsid w:val="000D3CEF"/>
    <w:rsid w:val="000F3AB2"/>
    <w:rsid w:val="00135937"/>
    <w:rsid w:val="00165A28"/>
    <w:rsid w:val="00180EA2"/>
    <w:rsid w:val="001B2FB3"/>
    <w:rsid w:val="00207170"/>
    <w:rsid w:val="0022273D"/>
    <w:rsid w:val="002B5F72"/>
    <w:rsid w:val="00360387"/>
    <w:rsid w:val="00363894"/>
    <w:rsid w:val="003E11F5"/>
    <w:rsid w:val="004277F9"/>
    <w:rsid w:val="004A3506"/>
    <w:rsid w:val="004B40BB"/>
    <w:rsid w:val="00550419"/>
    <w:rsid w:val="00581E9F"/>
    <w:rsid w:val="005C58C1"/>
    <w:rsid w:val="005E2EBF"/>
    <w:rsid w:val="0060648C"/>
    <w:rsid w:val="00615A4E"/>
    <w:rsid w:val="00662073"/>
    <w:rsid w:val="00774F6A"/>
    <w:rsid w:val="007E6367"/>
    <w:rsid w:val="00826068"/>
    <w:rsid w:val="00847E3C"/>
    <w:rsid w:val="008615CD"/>
    <w:rsid w:val="00884350"/>
    <w:rsid w:val="00932644"/>
    <w:rsid w:val="00943824"/>
    <w:rsid w:val="00A16D2E"/>
    <w:rsid w:val="00A46DB9"/>
    <w:rsid w:val="00A60D4D"/>
    <w:rsid w:val="00A87D06"/>
    <w:rsid w:val="00B022F4"/>
    <w:rsid w:val="00B0447A"/>
    <w:rsid w:val="00B50EFF"/>
    <w:rsid w:val="00B53699"/>
    <w:rsid w:val="00BC025E"/>
    <w:rsid w:val="00C20FAE"/>
    <w:rsid w:val="00C40C26"/>
    <w:rsid w:val="00C73A2A"/>
    <w:rsid w:val="00D453F3"/>
    <w:rsid w:val="00D64518"/>
    <w:rsid w:val="00D926F6"/>
    <w:rsid w:val="00D944D4"/>
    <w:rsid w:val="00D97318"/>
    <w:rsid w:val="00E24807"/>
    <w:rsid w:val="00E25500"/>
    <w:rsid w:val="00E90BC3"/>
    <w:rsid w:val="00EF3A15"/>
    <w:rsid w:val="00F05DDA"/>
    <w:rsid w:val="00F133FD"/>
    <w:rsid w:val="00F732A4"/>
    <w:rsid w:val="00F766F4"/>
    <w:rsid w:val="00FA0A1E"/>
    <w:rsid w:val="00FA25A0"/>
    <w:rsid w:val="00FC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11F5"/>
  </w:style>
  <w:style w:type="paragraph" w:styleId="BalloonText">
    <w:name w:val="Balloon Text"/>
    <w:basedOn w:val="Normal"/>
    <w:link w:val="BalloonTextChar"/>
    <w:rsid w:val="00363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ysillinois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ctm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queakland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restandard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te.Illinois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Unit 4 schools</Company>
  <LinksUpToDate>false</LinksUpToDate>
  <CharactersWithSpaces>2887</CharactersWithSpaces>
  <SharedDoc>false</SharedDoc>
  <HLinks>
    <vt:vector size="24" baseType="variant">
      <vt:variant>
        <vt:i4>3997730</vt:i4>
      </vt:variant>
      <vt:variant>
        <vt:i4>9</vt:i4>
      </vt:variant>
      <vt:variant>
        <vt:i4>0</vt:i4>
      </vt:variant>
      <vt:variant>
        <vt:i4>5</vt:i4>
      </vt:variant>
      <vt:variant>
        <vt:lpwstr>http://www.squeakland.org/</vt:lpwstr>
      </vt:variant>
      <vt:variant>
        <vt:lpwstr/>
      </vt:variant>
      <vt:variant>
        <vt:i4>4259918</vt:i4>
      </vt:variant>
      <vt:variant>
        <vt:i4>6</vt:i4>
      </vt:variant>
      <vt:variant>
        <vt:i4>0</vt:i4>
      </vt:variant>
      <vt:variant>
        <vt:i4>5</vt:i4>
      </vt:variant>
      <vt:variant>
        <vt:lpwstr>http://www.mste.org/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http://www.etoysillinois.org/</vt:lpwstr>
      </vt:variant>
      <vt:variant>
        <vt:lpwstr/>
      </vt:variant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http://www.iste.org/Content/NavigationMenu/NETS/ForStudents/2007Standards/NETS_for_Students_2007.htm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8</cp:revision>
  <dcterms:created xsi:type="dcterms:W3CDTF">2011-01-15T20:42:00Z</dcterms:created>
  <dcterms:modified xsi:type="dcterms:W3CDTF">2011-01-16T14:02:00Z</dcterms:modified>
</cp:coreProperties>
</file>